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9E6" w:rsidRPr="00BF29E6" w:rsidRDefault="00BF29E6" w:rsidP="00BF29E6">
      <w:pPr>
        <w:rPr>
          <w:rFonts w:ascii="Times New Roman" w:eastAsia="Times New Roman" w:hAnsi="Times New Roman" w:cs="Times New Roman"/>
          <w:lang w:eastAsia="sv-SE"/>
        </w:rPr>
      </w:pPr>
      <w:r w:rsidRPr="00BF29E6">
        <w:rPr>
          <w:rFonts w:ascii="Helvetica Neue" w:eastAsia="Times New Roman" w:hAnsi="Helvetica Neue" w:cs="Times New Roman"/>
          <w:color w:val="222222"/>
          <w:sz w:val="23"/>
          <w:szCs w:val="23"/>
          <w:bdr w:val="none" w:sz="0" w:space="0" w:color="auto" w:frame="1"/>
          <w:lang w:val="sv-SE" w:eastAsia="sv-SE"/>
        </w:rPr>
        <w:t xml:space="preserve">Austin, L. J., Parnes, M. F., </w:t>
      </w:r>
      <w:proofErr w:type="spellStart"/>
      <w:r w:rsidRPr="00BF29E6">
        <w:rPr>
          <w:rFonts w:ascii="Helvetica Neue" w:eastAsia="Times New Roman" w:hAnsi="Helvetica Neue" w:cs="Times New Roman"/>
          <w:color w:val="222222"/>
          <w:sz w:val="23"/>
          <w:szCs w:val="23"/>
          <w:bdr w:val="none" w:sz="0" w:space="0" w:color="auto" w:frame="1"/>
          <w:lang w:val="sv-SE" w:eastAsia="sv-SE"/>
        </w:rPr>
        <w:t>Jarjoura</w:t>
      </w:r>
      <w:proofErr w:type="spellEnd"/>
      <w:r w:rsidRPr="00BF29E6">
        <w:rPr>
          <w:rFonts w:ascii="Helvetica Neue" w:eastAsia="Times New Roman" w:hAnsi="Helvetica Neue" w:cs="Times New Roman"/>
          <w:color w:val="222222"/>
          <w:sz w:val="23"/>
          <w:szCs w:val="23"/>
          <w:bdr w:val="none" w:sz="0" w:space="0" w:color="auto" w:frame="1"/>
          <w:lang w:val="sv-SE" w:eastAsia="sv-SE"/>
        </w:rPr>
        <w:t xml:space="preserve">, G. R., Keller, T. E., </w:t>
      </w:r>
      <w:proofErr w:type="spellStart"/>
      <w:r w:rsidRPr="00BF29E6">
        <w:rPr>
          <w:rFonts w:ascii="Helvetica Neue" w:eastAsia="Times New Roman" w:hAnsi="Helvetica Neue" w:cs="Times New Roman"/>
          <w:color w:val="222222"/>
          <w:sz w:val="23"/>
          <w:szCs w:val="23"/>
          <w:bdr w:val="none" w:sz="0" w:space="0" w:color="auto" w:frame="1"/>
          <w:lang w:val="sv-SE" w:eastAsia="sv-SE"/>
        </w:rPr>
        <w:t>Herrera</w:t>
      </w:r>
      <w:proofErr w:type="spellEnd"/>
      <w:r w:rsidRPr="00BF29E6">
        <w:rPr>
          <w:rFonts w:ascii="Helvetica Neue" w:eastAsia="Times New Roman" w:hAnsi="Helvetica Neue" w:cs="Times New Roman"/>
          <w:color w:val="222222"/>
          <w:sz w:val="23"/>
          <w:szCs w:val="23"/>
          <w:bdr w:val="none" w:sz="0" w:space="0" w:color="auto" w:frame="1"/>
          <w:lang w:val="sv-SE" w:eastAsia="sv-SE"/>
        </w:rPr>
        <w:t xml:space="preserve">, C., </w:t>
      </w:r>
      <w:proofErr w:type="spellStart"/>
      <w:r w:rsidRPr="00BF29E6">
        <w:rPr>
          <w:rFonts w:ascii="Helvetica Neue" w:eastAsia="Times New Roman" w:hAnsi="Helvetica Neue" w:cs="Times New Roman"/>
          <w:color w:val="222222"/>
          <w:sz w:val="23"/>
          <w:szCs w:val="23"/>
          <w:bdr w:val="none" w:sz="0" w:space="0" w:color="auto" w:frame="1"/>
          <w:lang w:val="sv-SE" w:eastAsia="sv-SE"/>
        </w:rPr>
        <w:t>Tanyu</w:t>
      </w:r>
      <w:proofErr w:type="spellEnd"/>
      <w:r w:rsidRPr="00BF29E6">
        <w:rPr>
          <w:rFonts w:ascii="Helvetica Neue" w:eastAsia="Times New Roman" w:hAnsi="Helvetica Neue" w:cs="Times New Roman"/>
          <w:color w:val="222222"/>
          <w:sz w:val="23"/>
          <w:szCs w:val="23"/>
          <w:bdr w:val="none" w:sz="0" w:space="0" w:color="auto" w:frame="1"/>
          <w:lang w:val="sv-SE" w:eastAsia="sv-SE"/>
        </w:rPr>
        <w:t>, M., &amp; Schwartz, S.</w:t>
      </w:r>
      <w:r w:rsidRPr="00BF29E6">
        <w:rPr>
          <w:rFonts w:ascii="Helvetica Neue" w:eastAsia="Times New Roman" w:hAnsi="Helvetica Neue" w:cs="Times New Roman"/>
          <w:color w:val="222222"/>
          <w:sz w:val="23"/>
          <w:szCs w:val="23"/>
          <w:shd w:val="clear" w:color="auto" w:fill="FFFFFF"/>
          <w:lang w:val="sv-SE" w:eastAsia="sv-SE"/>
        </w:rPr>
        <w:t xml:space="preserve">E. O. (2020). </w:t>
      </w:r>
      <w:r w:rsidRPr="00BF29E6">
        <w:rPr>
          <w:rFonts w:ascii="Helvetica Neue" w:eastAsia="Times New Roman" w:hAnsi="Helvetica Neue" w:cs="Times New Roman"/>
          <w:color w:val="222222"/>
          <w:sz w:val="23"/>
          <w:szCs w:val="23"/>
          <w:shd w:val="clear" w:color="auto" w:fill="FFFFFF"/>
          <w:lang w:eastAsia="sv-SE"/>
        </w:rPr>
        <w:t>Connecting Youth: The Role of Mentoring Approach. </w:t>
      </w:r>
      <w:r w:rsidRPr="00BF29E6">
        <w:rPr>
          <w:rFonts w:ascii="Helvetica Neue" w:eastAsia="Times New Roman" w:hAnsi="Helvetica Neue" w:cs="Times New Roman"/>
          <w:i/>
          <w:iCs/>
          <w:color w:val="222222"/>
          <w:sz w:val="23"/>
          <w:szCs w:val="23"/>
          <w:bdr w:val="none" w:sz="0" w:space="0" w:color="auto" w:frame="1"/>
          <w:lang w:eastAsia="sv-SE"/>
        </w:rPr>
        <w:t>Journal of Youth </w:t>
      </w:r>
      <w:r w:rsidRPr="00BF29E6">
        <w:rPr>
          <w:rFonts w:ascii="inherit" w:eastAsia="Times New Roman" w:hAnsi="inherit" w:cs="Times New Roman"/>
          <w:i/>
          <w:iCs/>
          <w:color w:val="222222"/>
          <w:sz w:val="23"/>
          <w:szCs w:val="23"/>
          <w:bdr w:val="none" w:sz="0" w:space="0" w:color="auto" w:frame="1"/>
          <w:lang w:eastAsia="sv-SE"/>
        </w:rPr>
        <w:t>and Adolescence</w:t>
      </w:r>
      <w:r w:rsidRPr="00BF29E6">
        <w:rPr>
          <w:rFonts w:ascii="Helvetica Neue" w:eastAsia="Times New Roman" w:hAnsi="Helvetica Neue" w:cs="Times New Roman"/>
          <w:color w:val="222222"/>
          <w:sz w:val="23"/>
          <w:szCs w:val="23"/>
          <w:bdr w:val="none" w:sz="0" w:space="0" w:color="auto" w:frame="1"/>
          <w:lang w:eastAsia="sv-SE"/>
        </w:rPr>
        <w:t>.</w:t>
      </w:r>
    </w:p>
    <w:p w:rsidR="00633E29" w:rsidRDefault="00633E29"/>
    <w:p w:rsidR="00BF29E6" w:rsidRPr="00690E05" w:rsidRDefault="00BF29E6" w:rsidP="00BF29E6">
      <w:pPr>
        <w:numPr>
          <w:ilvl w:val="0"/>
          <w:numId w:val="1"/>
        </w:numPr>
        <w:ind w:left="345" w:firstLine="0"/>
        <w:textAlignment w:val="baseline"/>
        <w:rPr>
          <w:rFonts w:ascii="inherit" w:eastAsia="Times New Roman" w:hAnsi="inherit" w:cs="Times New Roman"/>
          <w:color w:val="222222"/>
          <w:sz w:val="23"/>
          <w:szCs w:val="23"/>
          <w:lang w:eastAsia="sv-SE"/>
        </w:rPr>
      </w:pPr>
      <w:r w:rsidRPr="00BF29E6">
        <w:rPr>
          <w:rFonts w:ascii="inherit" w:eastAsia="Times New Roman" w:hAnsi="inherit" w:cs="Times New Roman"/>
          <w:color w:val="222222"/>
          <w:sz w:val="23"/>
          <w:szCs w:val="23"/>
          <w:bdr w:val="none" w:sz="0" w:space="0" w:color="auto" w:frame="1"/>
          <w:lang w:eastAsia="sv-SE"/>
        </w:rPr>
        <w:t>This study examines how mentors approach their mentees and how the adults in their mentees’ lives influence various youth connection outcomes (i.e. parent-child relationship quality, natural mentors, help-seeking, and engagement in extracurricular activities) in community-based mentoring programs. </w:t>
      </w:r>
    </w:p>
    <w:p w:rsidR="00690E05" w:rsidRPr="00BF29E6" w:rsidRDefault="00690E05" w:rsidP="00690E05">
      <w:pPr>
        <w:ind w:left="345"/>
        <w:textAlignment w:val="baseline"/>
        <w:rPr>
          <w:rFonts w:ascii="inherit" w:eastAsia="Times New Roman" w:hAnsi="inherit" w:cs="Times New Roman"/>
          <w:color w:val="222222"/>
          <w:sz w:val="23"/>
          <w:szCs w:val="23"/>
          <w:lang w:eastAsia="sv-SE"/>
        </w:rPr>
      </w:pPr>
    </w:p>
    <w:p w:rsidR="00BF29E6" w:rsidRPr="00690E05" w:rsidRDefault="00BF29E6" w:rsidP="00BF29E6">
      <w:pPr>
        <w:numPr>
          <w:ilvl w:val="0"/>
          <w:numId w:val="1"/>
        </w:numPr>
        <w:ind w:left="345" w:firstLine="0"/>
        <w:textAlignment w:val="baseline"/>
        <w:rPr>
          <w:rFonts w:ascii="inherit" w:eastAsia="Times New Roman" w:hAnsi="inherit" w:cs="Times New Roman"/>
          <w:color w:val="222222"/>
          <w:sz w:val="23"/>
          <w:szCs w:val="23"/>
          <w:lang w:eastAsia="sv-SE"/>
        </w:rPr>
      </w:pPr>
      <w:r w:rsidRPr="00BF29E6">
        <w:rPr>
          <w:rFonts w:ascii="inherit" w:eastAsia="Times New Roman" w:hAnsi="inherit" w:cs="Times New Roman"/>
          <w:color w:val="222222"/>
          <w:sz w:val="23"/>
          <w:szCs w:val="23"/>
          <w:bdr w:val="none" w:sz="0" w:space="0" w:color="auto" w:frame="1"/>
          <w:lang w:eastAsia="sv-SE"/>
        </w:rPr>
        <w:t>Findings indicate that having a close relationship with a mentor, who actively connects their mentees with other people or programs from their communities, can promote help-seeking, increase extracurricular activity engagement, and strengthen parent-child relationships.</w:t>
      </w:r>
    </w:p>
    <w:p w:rsidR="00690E05" w:rsidRDefault="00690E05" w:rsidP="00690E05">
      <w:pPr>
        <w:pStyle w:val="Liststycke"/>
        <w:rPr>
          <w:rFonts w:ascii="inherit" w:eastAsia="Times New Roman" w:hAnsi="inherit" w:cs="Times New Roman"/>
          <w:color w:val="222222"/>
          <w:sz w:val="23"/>
          <w:szCs w:val="23"/>
          <w:lang w:eastAsia="sv-SE"/>
        </w:rPr>
      </w:pPr>
    </w:p>
    <w:p w:rsidR="00690E05" w:rsidRPr="00BF29E6" w:rsidRDefault="00690E05" w:rsidP="00690E05">
      <w:pPr>
        <w:ind w:left="345"/>
        <w:textAlignment w:val="baseline"/>
        <w:rPr>
          <w:rFonts w:ascii="inherit" w:eastAsia="Times New Roman" w:hAnsi="inherit" w:cs="Times New Roman"/>
          <w:color w:val="222222"/>
          <w:sz w:val="23"/>
          <w:szCs w:val="23"/>
          <w:lang w:eastAsia="sv-SE"/>
        </w:rPr>
      </w:pPr>
    </w:p>
    <w:p w:rsidR="00BF29E6" w:rsidRPr="00690E05" w:rsidRDefault="00BF29E6" w:rsidP="00BF29E6">
      <w:pPr>
        <w:numPr>
          <w:ilvl w:val="1"/>
          <w:numId w:val="1"/>
        </w:numPr>
        <w:ind w:left="1035" w:firstLine="0"/>
        <w:textAlignment w:val="baseline"/>
        <w:rPr>
          <w:rFonts w:ascii="inherit" w:eastAsia="Times New Roman" w:hAnsi="inherit" w:cs="Times New Roman"/>
          <w:color w:val="222222"/>
          <w:sz w:val="23"/>
          <w:szCs w:val="23"/>
          <w:lang w:eastAsia="sv-SE"/>
        </w:rPr>
      </w:pPr>
      <w:r w:rsidRPr="00BF29E6">
        <w:rPr>
          <w:rFonts w:ascii="inherit" w:eastAsia="Times New Roman" w:hAnsi="inherit" w:cs="Times New Roman"/>
          <w:color w:val="222222"/>
          <w:sz w:val="23"/>
          <w:szCs w:val="23"/>
          <w:bdr w:val="none" w:sz="0" w:space="0" w:color="auto" w:frame="1"/>
          <w:lang w:eastAsia="sv-SE"/>
        </w:rPr>
        <w:t>While having a close relationship with a mentor is beneficial and important, it doesn’t guarantee youth connection outcomes outside the mentorship. Mentors’ active efforts to increase their mentees’ social networks, on the other hand, may have a stronger influence on these outcomes.</w:t>
      </w:r>
    </w:p>
    <w:p w:rsidR="00690E05" w:rsidRPr="00BF29E6" w:rsidRDefault="00690E05" w:rsidP="00690E05">
      <w:pPr>
        <w:ind w:left="1035"/>
        <w:textAlignment w:val="baseline"/>
        <w:rPr>
          <w:rFonts w:ascii="inherit" w:eastAsia="Times New Roman" w:hAnsi="inherit" w:cs="Times New Roman"/>
          <w:color w:val="222222"/>
          <w:sz w:val="23"/>
          <w:szCs w:val="23"/>
          <w:lang w:eastAsia="sv-SE"/>
        </w:rPr>
      </w:pPr>
    </w:p>
    <w:p w:rsidR="00BF29E6" w:rsidRDefault="00BF29E6"/>
    <w:p w:rsidR="00BF29E6" w:rsidRPr="00BF29E6" w:rsidRDefault="00BF29E6" w:rsidP="00BF29E6">
      <w:pPr>
        <w:rPr>
          <w:rFonts w:ascii="Times New Roman" w:eastAsia="Times New Roman" w:hAnsi="Times New Roman" w:cs="Times New Roman"/>
          <w:lang w:eastAsia="sv-SE"/>
        </w:rPr>
      </w:pPr>
      <w:r w:rsidRPr="00BF29E6">
        <w:rPr>
          <w:rFonts w:ascii="Helvetica Neue" w:eastAsia="Times New Roman" w:hAnsi="Helvetica Neue" w:cs="Times New Roman"/>
          <w:color w:val="222222"/>
          <w:sz w:val="23"/>
          <w:szCs w:val="23"/>
          <w:shd w:val="clear" w:color="auto" w:fill="FFFFFF"/>
          <w:lang w:eastAsia="sv-SE"/>
        </w:rPr>
        <w:t>Participants were 766 youth, ranging in age from 11 to 14</w:t>
      </w:r>
    </w:p>
    <w:p w:rsidR="00690E05" w:rsidRDefault="00BF29E6" w:rsidP="00BF29E6">
      <w:pPr>
        <w:textAlignment w:val="baseline"/>
        <w:rPr>
          <w:rFonts w:ascii="inherit" w:eastAsia="Times New Roman" w:hAnsi="inherit" w:cs="Times New Roman"/>
          <w:color w:val="222222"/>
          <w:sz w:val="23"/>
          <w:szCs w:val="23"/>
          <w:bdr w:val="none" w:sz="0" w:space="0" w:color="auto" w:frame="1"/>
          <w:lang w:eastAsia="sv-SE"/>
        </w:rPr>
      </w:pPr>
      <w:r w:rsidRPr="00BF29E6">
        <w:rPr>
          <w:rFonts w:ascii="inherit" w:eastAsia="Times New Roman" w:hAnsi="inherit" w:cs="Times New Roman"/>
          <w:color w:val="222222"/>
          <w:sz w:val="23"/>
          <w:szCs w:val="23"/>
          <w:bdr w:val="none" w:sz="0" w:space="0" w:color="auto" w:frame="1"/>
          <w:lang w:eastAsia="sv-SE"/>
        </w:rPr>
        <w:t>Person-centered analyses revealed t</w:t>
      </w:r>
      <w:r w:rsidRPr="00BF29E6">
        <w:rPr>
          <w:rFonts w:ascii="inherit" w:eastAsia="Times New Roman" w:hAnsi="inherit" w:cs="Times New Roman"/>
          <w:b/>
          <w:color w:val="222222"/>
          <w:sz w:val="23"/>
          <w:szCs w:val="23"/>
          <w:bdr w:val="none" w:sz="0" w:space="0" w:color="auto" w:frame="1"/>
          <w:lang w:eastAsia="sv-SE"/>
        </w:rPr>
        <w:t>hree mentorin</w:t>
      </w:r>
      <w:r w:rsidRPr="00BF29E6">
        <w:rPr>
          <w:rFonts w:ascii="inherit" w:eastAsia="Times New Roman" w:hAnsi="inherit" w:cs="Times New Roman"/>
          <w:color w:val="222222"/>
          <w:sz w:val="23"/>
          <w:szCs w:val="23"/>
          <w:bdr w:val="none" w:sz="0" w:space="0" w:color="auto" w:frame="1"/>
          <w:lang w:eastAsia="sv-SE"/>
        </w:rPr>
        <w:t xml:space="preserve">g profiles which were differentially associated with youth outcomes: </w:t>
      </w:r>
      <w:r>
        <w:rPr>
          <w:rFonts w:ascii="inherit" w:eastAsia="Times New Roman" w:hAnsi="inherit" w:cs="Times New Roman"/>
          <w:color w:val="222222"/>
          <w:sz w:val="23"/>
          <w:szCs w:val="23"/>
          <w:bdr w:val="none" w:sz="0" w:space="0" w:color="auto" w:frame="1"/>
          <w:lang w:eastAsia="sv-SE"/>
        </w:rPr>
        <w:br/>
      </w:r>
      <w:r w:rsidRPr="00BF29E6">
        <w:rPr>
          <w:rFonts w:ascii="inherit" w:eastAsia="Times New Roman" w:hAnsi="inherit" w:cs="Times New Roman"/>
          <w:color w:val="222222"/>
          <w:sz w:val="23"/>
          <w:szCs w:val="23"/>
          <w:bdr w:val="none" w:sz="0" w:space="0" w:color="auto" w:frame="1"/>
          <w:lang w:eastAsia="sv-SE"/>
        </w:rPr>
        <w:t>“</w:t>
      </w:r>
      <w:r w:rsidRPr="00690E05">
        <w:rPr>
          <w:rFonts w:ascii="inherit" w:eastAsia="Times New Roman" w:hAnsi="inherit" w:cs="Times New Roman"/>
          <w:b/>
          <w:color w:val="222222"/>
          <w:sz w:val="23"/>
          <w:szCs w:val="23"/>
          <w:bdr w:val="none" w:sz="0" w:space="0" w:color="auto" w:frame="1"/>
          <w:lang w:eastAsia="sv-SE"/>
        </w:rPr>
        <w:t>Status Quo Mentors,”</w:t>
      </w:r>
      <w:r w:rsidRPr="00BF29E6">
        <w:rPr>
          <w:rFonts w:ascii="inherit" w:eastAsia="Times New Roman" w:hAnsi="inherit" w:cs="Times New Roman"/>
          <w:color w:val="222222"/>
          <w:sz w:val="23"/>
          <w:szCs w:val="23"/>
          <w:bdr w:val="none" w:sz="0" w:space="0" w:color="auto" w:frame="1"/>
          <w:lang w:eastAsia="sv-SE"/>
        </w:rPr>
        <w:t xml:space="preserve"> who reported low-to-moderate levels of closeness within the mentor–mentee dyad, low levels of connecting their mentees with programs and people in their community, and low levels </w:t>
      </w:r>
      <w:r w:rsidR="00690E05">
        <w:rPr>
          <w:rFonts w:ascii="inherit" w:eastAsia="Times New Roman" w:hAnsi="inherit" w:cs="Times New Roman"/>
          <w:color w:val="222222"/>
          <w:sz w:val="23"/>
          <w:szCs w:val="23"/>
          <w:bdr w:val="none" w:sz="0" w:space="0" w:color="auto" w:frame="1"/>
          <w:lang w:eastAsia="sv-SE"/>
        </w:rPr>
        <w:t>of mediating for their mentees</w:t>
      </w:r>
    </w:p>
    <w:p w:rsidR="00690E05" w:rsidRDefault="00BF29E6" w:rsidP="00BF29E6">
      <w:pPr>
        <w:textAlignment w:val="baseline"/>
        <w:rPr>
          <w:rFonts w:ascii="inherit" w:eastAsia="Times New Roman" w:hAnsi="inherit" w:cs="Times New Roman"/>
          <w:color w:val="222222"/>
          <w:sz w:val="23"/>
          <w:szCs w:val="23"/>
          <w:bdr w:val="none" w:sz="0" w:space="0" w:color="auto" w:frame="1"/>
          <w:lang w:eastAsia="sv-SE"/>
        </w:rPr>
      </w:pPr>
      <w:r>
        <w:rPr>
          <w:rFonts w:ascii="inherit" w:eastAsia="Times New Roman" w:hAnsi="inherit" w:cs="Times New Roman"/>
          <w:color w:val="222222"/>
          <w:sz w:val="23"/>
          <w:szCs w:val="23"/>
          <w:bdr w:val="none" w:sz="0" w:space="0" w:color="auto" w:frame="1"/>
          <w:lang w:eastAsia="sv-SE"/>
        </w:rPr>
        <w:br/>
      </w:r>
      <w:r w:rsidRPr="00690E05">
        <w:rPr>
          <w:rFonts w:ascii="inherit" w:eastAsia="Times New Roman" w:hAnsi="inherit" w:cs="Times New Roman"/>
          <w:b/>
          <w:color w:val="222222"/>
          <w:sz w:val="23"/>
          <w:szCs w:val="23"/>
          <w:bdr w:val="none" w:sz="0" w:space="0" w:color="auto" w:frame="1"/>
          <w:lang w:eastAsia="sv-SE"/>
        </w:rPr>
        <w:t>“Close Connectors,”</w:t>
      </w:r>
      <w:r w:rsidRPr="00BF29E6">
        <w:rPr>
          <w:rFonts w:ascii="inherit" w:eastAsia="Times New Roman" w:hAnsi="inherit" w:cs="Times New Roman"/>
          <w:color w:val="222222"/>
          <w:sz w:val="23"/>
          <w:szCs w:val="23"/>
          <w:bdr w:val="none" w:sz="0" w:space="0" w:color="auto" w:frame="1"/>
          <w:lang w:eastAsia="sv-SE"/>
        </w:rPr>
        <w:t xml:space="preserve"> who reported moderate-to-high levels of closeness, moderate-to-high levels of connecting, and low levels of mediating; </w:t>
      </w:r>
    </w:p>
    <w:p w:rsidR="00690E05" w:rsidRDefault="00BF29E6" w:rsidP="00BF29E6">
      <w:pPr>
        <w:textAlignment w:val="baseline"/>
        <w:rPr>
          <w:rFonts w:ascii="inherit" w:eastAsia="Times New Roman" w:hAnsi="inherit" w:cs="Times New Roman"/>
          <w:color w:val="222222"/>
          <w:sz w:val="23"/>
          <w:szCs w:val="23"/>
          <w:bdr w:val="none" w:sz="0" w:space="0" w:color="auto" w:frame="1"/>
          <w:lang w:eastAsia="sv-SE"/>
        </w:rPr>
      </w:pPr>
      <w:r>
        <w:rPr>
          <w:rFonts w:ascii="inherit" w:eastAsia="Times New Roman" w:hAnsi="inherit" w:cs="Times New Roman"/>
          <w:color w:val="222222"/>
          <w:sz w:val="23"/>
          <w:szCs w:val="23"/>
          <w:bdr w:val="none" w:sz="0" w:space="0" w:color="auto" w:frame="1"/>
          <w:lang w:eastAsia="sv-SE"/>
        </w:rPr>
        <w:br/>
      </w:r>
      <w:r w:rsidRPr="00BF29E6">
        <w:rPr>
          <w:rFonts w:ascii="inherit" w:eastAsia="Times New Roman" w:hAnsi="inherit" w:cs="Times New Roman"/>
          <w:color w:val="222222"/>
          <w:sz w:val="23"/>
          <w:szCs w:val="23"/>
          <w:bdr w:val="none" w:sz="0" w:space="0" w:color="auto" w:frame="1"/>
          <w:lang w:eastAsia="sv-SE"/>
        </w:rPr>
        <w:t>“</w:t>
      </w:r>
      <w:r w:rsidRPr="00690E05">
        <w:rPr>
          <w:rFonts w:ascii="inherit" w:eastAsia="Times New Roman" w:hAnsi="inherit" w:cs="Times New Roman"/>
          <w:b/>
          <w:color w:val="222222"/>
          <w:sz w:val="23"/>
          <w:szCs w:val="23"/>
          <w:bdr w:val="none" w:sz="0" w:space="0" w:color="auto" w:frame="1"/>
          <w:lang w:eastAsia="sv-SE"/>
        </w:rPr>
        <w:t>Connector-Mediators,”</w:t>
      </w:r>
      <w:r w:rsidRPr="00BF29E6">
        <w:rPr>
          <w:rFonts w:ascii="inherit" w:eastAsia="Times New Roman" w:hAnsi="inherit" w:cs="Times New Roman"/>
          <w:color w:val="222222"/>
          <w:sz w:val="23"/>
          <w:szCs w:val="23"/>
          <w:bdr w:val="none" w:sz="0" w:space="0" w:color="auto" w:frame="1"/>
          <w:lang w:eastAsia="sv-SE"/>
        </w:rPr>
        <w:t xml:space="preserve"> who reported moderate levels of closeness, connecting, and mediating. Youth mentored by “Close Connectors” demonstrated the greatest benefit, with significant improvements in parent–child relationship quality, extracurricular activity involvement, and help-seeking. </w:t>
      </w:r>
    </w:p>
    <w:p w:rsidR="00690E05" w:rsidRDefault="00690E05" w:rsidP="00BF29E6">
      <w:pPr>
        <w:textAlignment w:val="baseline"/>
        <w:rPr>
          <w:rFonts w:ascii="inherit" w:eastAsia="Times New Roman" w:hAnsi="inherit" w:cs="Times New Roman"/>
          <w:color w:val="222222"/>
          <w:sz w:val="23"/>
          <w:szCs w:val="23"/>
          <w:bdr w:val="none" w:sz="0" w:space="0" w:color="auto" w:frame="1"/>
          <w:lang w:eastAsia="sv-SE"/>
        </w:rPr>
      </w:pPr>
    </w:p>
    <w:p w:rsidR="00BF29E6" w:rsidRDefault="00BF29E6" w:rsidP="00BF29E6">
      <w:pPr>
        <w:textAlignment w:val="baseline"/>
        <w:rPr>
          <w:rFonts w:ascii="inherit" w:eastAsia="Times New Roman" w:hAnsi="inherit" w:cs="Times New Roman"/>
          <w:color w:val="222222"/>
          <w:sz w:val="23"/>
          <w:szCs w:val="23"/>
          <w:bdr w:val="none" w:sz="0" w:space="0" w:color="auto" w:frame="1"/>
          <w:lang w:eastAsia="sv-SE"/>
        </w:rPr>
      </w:pPr>
      <w:r w:rsidRPr="00BF29E6">
        <w:rPr>
          <w:rFonts w:ascii="inherit" w:eastAsia="Times New Roman" w:hAnsi="inherit" w:cs="Times New Roman"/>
          <w:color w:val="222222"/>
          <w:sz w:val="23"/>
          <w:szCs w:val="23"/>
          <w:bdr w:val="none" w:sz="0" w:space="0" w:color="auto" w:frame="1"/>
          <w:lang w:eastAsia="sv-SE"/>
        </w:rPr>
        <w:t>Results suggest that community-based mentoring programs that emphasize connecting youth within their communities may be more effective in enhancing youth support networks.</w:t>
      </w:r>
    </w:p>
    <w:p w:rsidR="00BF29E6" w:rsidRDefault="00BF29E6" w:rsidP="00BF29E6">
      <w:pPr>
        <w:textAlignment w:val="baseline"/>
        <w:rPr>
          <w:rFonts w:ascii="inherit" w:eastAsia="Times New Roman" w:hAnsi="inherit" w:cs="Times New Roman"/>
          <w:color w:val="222222"/>
          <w:sz w:val="23"/>
          <w:szCs w:val="23"/>
          <w:bdr w:val="none" w:sz="0" w:space="0" w:color="auto" w:frame="1"/>
          <w:lang w:eastAsia="sv-SE"/>
        </w:rPr>
      </w:pPr>
    </w:p>
    <w:p w:rsidR="00BF29E6" w:rsidRPr="00BF29E6" w:rsidRDefault="00BF29E6" w:rsidP="00BF29E6">
      <w:pPr>
        <w:textAlignment w:val="baseline"/>
        <w:rPr>
          <w:rFonts w:ascii="Helvetica Neue" w:eastAsia="Times New Roman" w:hAnsi="Helvetica Neue" w:cs="Times New Roman"/>
          <w:color w:val="222222"/>
          <w:sz w:val="23"/>
          <w:szCs w:val="23"/>
          <w:lang w:eastAsia="sv-SE"/>
        </w:rPr>
      </w:pPr>
      <w:r w:rsidRPr="00BF29E6">
        <w:rPr>
          <w:rFonts w:ascii="inherit" w:eastAsia="Times New Roman" w:hAnsi="inherit" w:cs="Times New Roman"/>
          <w:b/>
          <w:bCs/>
          <w:color w:val="2D5C88"/>
          <w:sz w:val="23"/>
          <w:szCs w:val="23"/>
          <w:bdr w:val="none" w:sz="0" w:space="0" w:color="auto" w:frame="1"/>
          <w:lang w:eastAsia="sv-SE"/>
        </w:rPr>
        <w:t>Implications</w:t>
      </w:r>
      <w:r w:rsidRPr="00BF29E6">
        <w:rPr>
          <w:rFonts w:ascii="inherit" w:eastAsia="Times New Roman" w:hAnsi="inherit" w:cs="Times New Roman"/>
          <w:color w:val="222222"/>
          <w:sz w:val="23"/>
          <w:szCs w:val="23"/>
          <w:bdr w:val="none" w:sz="0" w:space="0" w:color="auto" w:frame="1"/>
          <w:lang w:eastAsia="sv-SE"/>
        </w:rPr>
        <w:t> </w:t>
      </w:r>
    </w:p>
    <w:p w:rsidR="00BF29E6" w:rsidRDefault="00BF29E6" w:rsidP="00BF29E6">
      <w:pPr>
        <w:textAlignment w:val="baseline"/>
        <w:rPr>
          <w:rFonts w:ascii="inherit" w:eastAsia="Times New Roman" w:hAnsi="inherit" w:cs="Times New Roman"/>
          <w:color w:val="222222"/>
          <w:sz w:val="23"/>
          <w:szCs w:val="23"/>
          <w:bdr w:val="none" w:sz="0" w:space="0" w:color="auto" w:frame="1"/>
          <w:lang w:eastAsia="sv-SE"/>
        </w:rPr>
      </w:pPr>
      <w:r w:rsidRPr="00BF29E6">
        <w:rPr>
          <w:rFonts w:ascii="inherit" w:eastAsia="Times New Roman" w:hAnsi="inherit" w:cs="Times New Roman"/>
          <w:color w:val="222222"/>
          <w:sz w:val="23"/>
          <w:szCs w:val="23"/>
          <w:bdr w:val="none" w:sz="0" w:space="0" w:color="auto" w:frame="1"/>
          <w:lang w:eastAsia="sv-SE"/>
        </w:rPr>
        <w:t xml:space="preserve">Feelings of support and connectedness are crucial for adolescent health and development. </w:t>
      </w:r>
      <w:r>
        <w:rPr>
          <w:rFonts w:ascii="inherit" w:eastAsia="Times New Roman" w:hAnsi="inherit" w:cs="Times New Roman"/>
          <w:color w:val="222222"/>
          <w:sz w:val="23"/>
          <w:szCs w:val="23"/>
          <w:bdr w:val="none" w:sz="0" w:space="0" w:color="auto" w:frame="1"/>
          <w:lang w:eastAsia="sv-SE"/>
        </w:rPr>
        <w:br/>
      </w:r>
    </w:p>
    <w:p w:rsidR="00BF29E6" w:rsidRPr="00BF29E6" w:rsidRDefault="00BF29E6" w:rsidP="00BF29E6">
      <w:pPr>
        <w:textAlignment w:val="baseline"/>
        <w:rPr>
          <w:rFonts w:ascii="Helvetica Neue" w:eastAsia="Times New Roman" w:hAnsi="Helvetica Neue" w:cs="Times New Roman"/>
          <w:color w:val="222222"/>
          <w:sz w:val="23"/>
          <w:szCs w:val="23"/>
          <w:lang w:eastAsia="sv-SE"/>
        </w:rPr>
      </w:pPr>
      <w:r w:rsidRPr="00BF29E6">
        <w:rPr>
          <w:rFonts w:ascii="inherit" w:eastAsia="Times New Roman" w:hAnsi="inherit" w:cs="Times New Roman"/>
          <w:color w:val="222222"/>
          <w:sz w:val="23"/>
          <w:szCs w:val="23"/>
          <w:bdr w:val="none" w:sz="0" w:space="0" w:color="auto" w:frame="1"/>
          <w:lang w:eastAsia="sv-SE"/>
        </w:rPr>
        <w:t xml:space="preserve">Substantial literature (e.g., Miranda-Chan et al. 2016) has demonstrated that supportive relationships with non-parental adults can promote adolescent well-being and health. </w:t>
      </w:r>
      <w:r>
        <w:rPr>
          <w:rFonts w:ascii="inherit" w:eastAsia="Times New Roman" w:hAnsi="inherit" w:cs="Times New Roman"/>
          <w:color w:val="222222"/>
          <w:sz w:val="23"/>
          <w:szCs w:val="23"/>
          <w:bdr w:val="none" w:sz="0" w:space="0" w:color="auto" w:frame="1"/>
          <w:lang w:eastAsia="sv-SE"/>
        </w:rPr>
        <w:br/>
      </w:r>
      <w:r>
        <w:rPr>
          <w:rFonts w:ascii="inherit" w:eastAsia="Times New Roman" w:hAnsi="inherit" w:cs="Times New Roman"/>
          <w:color w:val="222222"/>
          <w:sz w:val="23"/>
          <w:szCs w:val="23"/>
          <w:bdr w:val="none" w:sz="0" w:space="0" w:color="auto" w:frame="1"/>
          <w:lang w:eastAsia="sv-SE"/>
        </w:rPr>
        <w:br/>
      </w:r>
      <w:r w:rsidRPr="00BF29E6">
        <w:rPr>
          <w:rFonts w:ascii="inherit" w:eastAsia="Times New Roman" w:hAnsi="inherit" w:cs="Times New Roman"/>
          <w:color w:val="222222"/>
          <w:sz w:val="23"/>
          <w:szCs w:val="23"/>
          <w:bdr w:val="none" w:sz="0" w:space="0" w:color="auto" w:frame="1"/>
          <w:lang w:eastAsia="sv-SE"/>
        </w:rPr>
        <w:t xml:space="preserve">However, because formal mentoring is a </w:t>
      </w:r>
      <w:r w:rsidRPr="00690E05">
        <w:rPr>
          <w:rFonts w:ascii="inherit" w:eastAsia="Times New Roman" w:hAnsi="inherit" w:cs="Times New Roman"/>
          <w:b/>
          <w:color w:val="222222"/>
          <w:sz w:val="23"/>
          <w:szCs w:val="23"/>
          <w:bdr w:val="none" w:sz="0" w:space="0" w:color="auto" w:frame="1"/>
          <w:lang w:eastAsia="sv-SE"/>
        </w:rPr>
        <w:t>time-limited intervention,</w:t>
      </w:r>
      <w:r w:rsidRPr="00BF29E6">
        <w:rPr>
          <w:rFonts w:ascii="inherit" w:eastAsia="Times New Roman" w:hAnsi="inherit" w:cs="Times New Roman"/>
          <w:color w:val="222222"/>
          <w:sz w:val="23"/>
          <w:szCs w:val="23"/>
          <w:bdr w:val="none" w:sz="0" w:space="0" w:color="auto" w:frame="1"/>
          <w:lang w:eastAsia="sv-SE"/>
        </w:rPr>
        <w:t xml:space="preserve"> it is important to understand the mechanisms through which formal mentoring relationships can strengthen existing relationships and expand youth’s social connections so that support is sustained and positive impacts persist after the formal mentoring relationship has ended. </w:t>
      </w:r>
      <w:r>
        <w:rPr>
          <w:rFonts w:ascii="inherit" w:eastAsia="Times New Roman" w:hAnsi="inherit" w:cs="Times New Roman"/>
          <w:color w:val="222222"/>
          <w:sz w:val="23"/>
          <w:szCs w:val="23"/>
          <w:bdr w:val="none" w:sz="0" w:space="0" w:color="auto" w:frame="1"/>
          <w:lang w:eastAsia="sv-SE"/>
        </w:rPr>
        <w:br/>
      </w:r>
      <w:r>
        <w:rPr>
          <w:rFonts w:ascii="inherit" w:eastAsia="Times New Roman" w:hAnsi="inherit" w:cs="Times New Roman"/>
          <w:color w:val="222222"/>
          <w:sz w:val="23"/>
          <w:szCs w:val="23"/>
          <w:bdr w:val="none" w:sz="0" w:space="0" w:color="auto" w:frame="1"/>
          <w:lang w:eastAsia="sv-SE"/>
        </w:rPr>
        <w:br/>
      </w:r>
      <w:r w:rsidRPr="00BF29E6">
        <w:rPr>
          <w:rFonts w:ascii="inherit" w:eastAsia="Times New Roman" w:hAnsi="inherit" w:cs="Times New Roman"/>
          <w:color w:val="222222"/>
          <w:sz w:val="23"/>
          <w:szCs w:val="23"/>
          <w:bdr w:val="none" w:sz="0" w:space="0" w:color="auto" w:frame="1"/>
          <w:lang w:eastAsia="sv-SE"/>
        </w:rPr>
        <w:lastRenderedPageBreak/>
        <w:t>Little research has examined how mentoring approaches relate to youth connection and specifically if there are behaviors that a mentor can engage in to expand a mentee’s network of support beyond the mentoring relationship. As such, the current study used a person-centered approach to explore how mentoring approach to youth social connection relates to youth connection outcomes in formal community-based mentoring.</w:t>
      </w:r>
      <w:r>
        <w:rPr>
          <w:rFonts w:ascii="inherit" w:eastAsia="Times New Roman" w:hAnsi="inherit" w:cs="Times New Roman"/>
          <w:color w:val="222222"/>
          <w:sz w:val="23"/>
          <w:szCs w:val="23"/>
          <w:bdr w:val="none" w:sz="0" w:space="0" w:color="auto" w:frame="1"/>
          <w:lang w:eastAsia="sv-SE"/>
        </w:rPr>
        <w:br/>
      </w:r>
    </w:p>
    <w:p w:rsidR="00BF29E6" w:rsidRPr="00BF29E6" w:rsidRDefault="00BF29E6" w:rsidP="00BF29E6">
      <w:pPr>
        <w:textAlignment w:val="baseline"/>
        <w:rPr>
          <w:rFonts w:ascii="Helvetica Neue" w:eastAsia="Times New Roman" w:hAnsi="Helvetica Neue" w:cs="Times New Roman"/>
          <w:color w:val="222222"/>
          <w:sz w:val="23"/>
          <w:szCs w:val="23"/>
          <w:lang w:eastAsia="sv-SE"/>
        </w:rPr>
      </w:pPr>
      <w:r w:rsidRPr="00BF29E6">
        <w:rPr>
          <w:rFonts w:ascii="inherit" w:eastAsia="Times New Roman" w:hAnsi="inherit" w:cs="Times New Roman"/>
          <w:color w:val="222222"/>
          <w:sz w:val="23"/>
          <w:szCs w:val="23"/>
          <w:bdr w:val="none" w:sz="0" w:space="0" w:color="auto" w:frame="1"/>
          <w:lang w:eastAsia="sv-SE"/>
        </w:rPr>
        <w:t xml:space="preserve">The results of this study suggest that there are meaningful differences in mentors’ approaches to supporting youth development and that these differences are related to distinct changes in social connection outcomes in the context of community-based mentoring. </w:t>
      </w:r>
      <w:r>
        <w:rPr>
          <w:rFonts w:ascii="inherit" w:eastAsia="Times New Roman" w:hAnsi="inherit" w:cs="Times New Roman"/>
          <w:color w:val="222222"/>
          <w:sz w:val="23"/>
          <w:szCs w:val="23"/>
          <w:bdr w:val="none" w:sz="0" w:space="0" w:color="auto" w:frame="1"/>
          <w:lang w:eastAsia="sv-SE"/>
        </w:rPr>
        <w:br/>
      </w:r>
      <w:r>
        <w:rPr>
          <w:rFonts w:ascii="inherit" w:eastAsia="Times New Roman" w:hAnsi="inherit" w:cs="Times New Roman"/>
          <w:color w:val="222222"/>
          <w:sz w:val="23"/>
          <w:szCs w:val="23"/>
          <w:bdr w:val="none" w:sz="0" w:space="0" w:color="auto" w:frame="1"/>
          <w:lang w:eastAsia="sv-SE"/>
        </w:rPr>
        <w:br/>
      </w:r>
      <w:r w:rsidRPr="00BF29E6">
        <w:rPr>
          <w:rFonts w:ascii="inherit" w:eastAsia="Times New Roman" w:hAnsi="inherit" w:cs="Times New Roman"/>
          <w:color w:val="222222"/>
          <w:sz w:val="23"/>
          <w:szCs w:val="23"/>
          <w:bdr w:val="none" w:sz="0" w:space="0" w:color="auto" w:frame="1"/>
          <w:lang w:eastAsia="sv-SE"/>
        </w:rPr>
        <w:t xml:space="preserve">Specifically, person-centered analyses uncovered three distinct mentoring profiles: (1) Status Quo Mentors (mentors who reported low-to-moderate closeness, low connecting, and low mediating—the largest group of about 70% of mentors), </w:t>
      </w:r>
      <w:r>
        <w:rPr>
          <w:rFonts w:ascii="inherit" w:eastAsia="Times New Roman" w:hAnsi="inherit" w:cs="Times New Roman"/>
          <w:color w:val="222222"/>
          <w:sz w:val="23"/>
          <w:szCs w:val="23"/>
          <w:bdr w:val="none" w:sz="0" w:space="0" w:color="auto" w:frame="1"/>
          <w:lang w:eastAsia="sv-SE"/>
        </w:rPr>
        <w:br/>
      </w:r>
      <w:r>
        <w:rPr>
          <w:rFonts w:ascii="inherit" w:eastAsia="Times New Roman" w:hAnsi="inherit" w:cs="Times New Roman"/>
          <w:color w:val="222222"/>
          <w:sz w:val="23"/>
          <w:szCs w:val="23"/>
          <w:bdr w:val="none" w:sz="0" w:space="0" w:color="auto" w:frame="1"/>
          <w:lang w:eastAsia="sv-SE"/>
        </w:rPr>
        <w:br/>
      </w:r>
      <w:r w:rsidRPr="00BF29E6">
        <w:rPr>
          <w:rFonts w:ascii="inherit" w:eastAsia="Times New Roman" w:hAnsi="inherit" w:cs="Times New Roman"/>
          <w:color w:val="222222"/>
          <w:sz w:val="23"/>
          <w:szCs w:val="23"/>
          <w:bdr w:val="none" w:sz="0" w:space="0" w:color="auto" w:frame="1"/>
          <w:lang w:eastAsia="sv-SE"/>
        </w:rPr>
        <w:t xml:space="preserve">(2) Close Connectors (mentors who reported moderate-to-high levels of closeness, moderate levels connecting, and low mediating—about 23% of mentors), </w:t>
      </w:r>
      <w:r>
        <w:rPr>
          <w:rFonts w:ascii="inherit" w:eastAsia="Times New Roman" w:hAnsi="inherit" w:cs="Times New Roman"/>
          <w:color w:val="222222"/>
          <w:sz w:val="23"/>
          <w:szCs w:val="23"/>
          <w:bdr w:val="none" w:sz="0" w:space="0" w:color="auto" w:frame="1"/>
          <w:lang w:eastAsia="sv-SE"/>
        </w:rPr>
        <w:br/>
      </w:r>
      <w:r>
        <w:rPr>
          <w:rFonts w:ascii="inherit" w:eastAsia="Times New Roman" w:hAnsi="inherit" w:cs="Times New Roman"/>
          <w:color w:val="222222"/>
          <w:sz w:val="23"/>
          <w:szCs w:val="23"/>
          <w:bdr w:val="none" w:sz="0" w:space="0" w:color="auto" w:frame="1"/>
          <w:lang w:eastAsia="sv-SE"/>
        </w:rPr>
        <w:br/>
      </w:r>
      <w:r w:rsidRPr="00BF29E6">
        <w:rPr>
          <w:rFonts w:ascii="inherit" w:eastAsia="Times New Roman" w:hAnsi="inherit" w:cs="Times New Roman"/>
          <w:color w:val="222222"/>
          <w:sz w:val="23"/>
          <w:szCs w:val="23"/>
          <w:bdr w:val="none" w:sz="0" w:space="0" w:color="auto" w:frame="1"/>
          <w:lang w:eastAsia="sv-SE"/>
        </w:rPr>
        <w:t xml:space="preserve">(3) Connector-Mediators (mentors who reported moderate levels of closeness, connecting, and mediating—about 7% of mentors). Importantly, these groupings demonstrate that active or instrumental approaches, like connecting, do not have to come at the expense of mentor–mentee relationship quality, despite concerns in the field that more instrumental mentoring may sacrifice relationship closeness (Rhodes and DuBois 2008). </w:t>
      </w:r>
      <w:r>
        <w:rPr>
          <w:rFonts w:ascii="inherit" w:eastAsia="Times New Roman" w:hAnsi="inherit" w:cs="Times New Roman"/>
          <w:color w:val="222222"/>
          <w:sz w:val="23"/>
          <w:szCs w:val="23"/>
          <w:bdr w:val="none" w:sz="0" w:space="0" w:color="auto" w:frame="1"/>
          <w:lang w:eastAsia="sv-SE"/>
        </w:rPr>
        <w:br/>
      </w:r>
      <w:r w:rsidRPr="00BF29E6">
        <w:rPr>
          <w:rFonts w:ascii="inherit" w:eastAsia="Times New Roman" w:hAnsi="inherit" w:cs="Times New Roman"/>
          <w:color w:val="222222"/>
          <w:sz w:val="23"/>
          <w:szCs w:val="23"/>
          <w:bdr w:val="none" w:sz="0" w:space="0" w:color="auto" w:frame="1"/>
          <w:lang w:eastAsia="sv-SE"/>
        </w:rPr>
        <w:t xml:space="preserve">Instead, the profiles show that closeness and connecting tend to coincide, suggesting that attention to relationships outside of the mentor–mentee dyad could even enhance the mentoring relationship. </w:t>
      </w:r>
      <w:r>
        <w:rPr>
          <w:rFonts w:ascii="inherit" w:eastAsia="Times New Roman" w:hAnsi="inherit" w:cs="Times New Roman"/>
          <w:color w:val="222222"/>
          <w:sz w:val="23"/>
          <w:szCs w:val="23"/>
          <w:bdr w:val="none" w:sz="0" w:space="0" w:color="auto" w:frame="1"/>
          <w:lang w:eastAsia="sv-SE"/>
        </w:rPr>
        <w:br/>
      </w:r>
      <w:r>
        <w:rPr>
          <w:rFonts w:ascii="inherit" w:eastAsia="Times New Roman" w:hAnsi="inherit" w:cs="Times New Roman"/>
          <w:color w:val="222222"/>
          <w:sz w:val="23"/>
          <w:szCs w:val="23"/>
          <w:bdr w:val="none" w:sz="0" w:space="0" w:color="auto" w:frame="1"/>
          <w:lang w:eastAsia="sv-SE"/>
        </w:rPr>
        <w:br/>
      </w:r>
      <w:r w:rsidRPr="00BF29E6">
        <w:rPr>
          <w:rFonts w:ascii="inherit" w:eastAsia="Times New Roman" w:hAnsi="inherit" w:cs="Times New Roman"/>
          <w:color w:val="222222"/>
          <w:sz w:val="23"/>
          <w:szCs w:val="23"/>
          <w:bdr w:val="none" w:sz="0" w:space="0" w:color="auto" w:frame="1"/>
          <w:lang w:eastAsia="sv-SE"/>
        </w:rPr>
        <w:t xml:space="preserve">These findings suggest that programs can, and perhaps </w:t>
      </w:r>
      <w:r w:rsidRPr="00690E05">
        <w:rPr>
          <w:rFonts w:ascii="inherit" w:eastAsia="Times New Roman" w:hAnsi="inherit" w:cs="Times New Roman"/>
          <w:b/>
          <w:color w:val="222222"/>
          <w:sz w:val="23"/>
          <w:szCs w:val="23"/>
          <w:bdr w:val="none" w:sz="0" w:space="0" w:color="auto" w:frame="1"/>
          <w:lang w:eastAsia="sv-SE"/>
        </w:rPr>
        <w:t>even should, encourage network-engaged mentoring both in training and ongoing match support</w:t>
      </w:r>
      <w:r w:rsidRPr="00BF29E6">
        <w:rPr>
          <w:rFonts w:ascii="inherit" w:eastAsia="Times New Roman" w:hAnsi="inherit" w:cs="Times New Roman"/>
          <w:color w:val="222222"/>
          <w:sz w:val="23"/>
          <w:szCs w:val="23"/>
          <w:bdr w:val="none" w:sz="0" w:space="0" w:color="auto" w:frame="1"/>
          <w:lang w:eastAsia="sv-SE"/>
        </w:rPr>
        <w:t>.</w:t>
      </w:r>
    </w:p>
    <w:p w:rsidR="00BF29E6" w:rsidRPr="00BF29E6" w:rsidRDefault="00BF29E6" w:rsidP="00BF29E6">
      <w:pPr>
        <w:textAlignment w:val="baseline"/>
        <w:rPr>
          <w:rFonts w:ascii="Helvetica Neue" w:eastAsia="Times New Roman" w:hAnsi="Helvetica Neue" w:cs="Times New Roman"/>
          <w:color w:val="222222"/>
          <w:sz w:val="23"/>
          <w:szCs w:val="23"/>
          <w:lang w:eastAsia="sv-SE"/>
        </w:rPr>
      </w:pPr>
      <w:r w:rsidRPr="00BF29E6">
        <w:rPr>
          <w:rFonts w:ascii="inherit" w:eastAsia="Times New Roman" w:hAnsi="inherit" w:cs="Times New Roman"/>
          <w:color w:val="222222"/>
          <w:sz w:val="23"/>
          <w:szCs w:val="23"/>
          <w:bdr w:val="none" w:sz="0" w:space="0" w:color="auto" w:frame="1"/>
          <w:lang w:eastAsia="sv-SE"/>
        </w:rPr>
        <w:t>The mentees of these three types of mentors, in turn, demonstrated differences in baseline connection measures and change to connection measures over time. As anticipated, stronger connection outcomes were observed among youth with mentors who actively engaged in connecting and mediating behaviors. Mente</w:t>
      </w:r>
      <w:bookmarkStart w:id="0" w:name="_GoBack"/>
      <w:bookmarkEnd w:id="0"/>
      <w:r w:rsidRPr="00BF29E6">
        <w:rPr>
          <w:rFonts w:ascii="inherit" w:eastAsia="Times New Roman" w:hAnsi="inherit" w:cs="Times New Roman"/>
          <w:color w:val="222222"/>
          <w:sz w:val="23"/>
          <w:szCs w:val="23"/>
          <w:bdr w:val="none" w:sz="0" w:space="0" w:color="auto" w:frame="1"/>
          <w:lang w:eastAsia="sv-SE"/>
        </w:rPr>
        <w:t xml:space="preserve">es of Status Quo Mentors demonstrated no changes in any of the connection outcomes, suggesting that the average mentor may not create the kind of relationship that enhances connection outcomes outside of the mentoring dyad (although they may still influence other domains of youth development such as academic outcomes). Mentees of Connector-Mediators demonstrated significant increases in involvement in extracurricular </w:t>
      </w:r>
      <w:proofErr w:type="gramStart"/>
      <w:r w:rsidRPr="00BF29E6">
        <w:rPr>
          <w:rFonts w:ascii="inherit" w:eastAsia="Times New Roman" w:hAnsi="inherit" w:cs="Times New Roman"/>
          <w:color w:val="222222"/>
          <w:sz w:val="23"/>
          <w:szCs w:val="23"/>
          <w:bdr w:val="none" w:sz="0" w:space="0" w:color="auto" w:frame="1"/>
          <w:lang w:eastAsia="sv-SE"/>
        </w:rPr>
        <w:t>activities, but</w:t>
      </w:r>
      <w:proofErr w:type="gramEnd"/>
      <w:r w:rsidRPr="00BF29E6">
        <w:rPr>
          <w:rFonts w:ascii="inherit" w:eastAsia="Times New Roman" w:hAnsi="inherit" w:cs="Times New Roman"/>
          <w:color w:val="222222"/>
          <w:sz w:val="23"/>
          <w:szCs w:val="23"/>
          <w:bdr w:val="none" w:sz="0" w:space="0" w:color="auto" w:frame="1"/>
          <w:lang w:eastAsia="sv-SE"/>
        </w:rPr>
        <w:t xml:space="preserve"> did not show changes in any of the other connection outcomes. In contrast, youth who showed the greatest improvements were the mentees of Close Connectors. From baseline to follow-up, these youth demonstrated significant improvements in parent–child relationship quality and help-seeking as well as significant increases in extracurricular activity participation.</w:t>
      </w:r>
    </w:p>
    <w:p w:rsidR="00BF29E6" w:rsidRPr="00BF29E6" w:rsidRDefault="00BF29E6" w:rsidP="00BF29E6">
      <w:pPr>
        <w:textAlignment w:val="baseline"/>
        <w:rPr>
          <w:rFonts w:ascii="Helvetica Neue" w:eastAsia="Times New Roman" w:hAnsi="Helvetica Neue" w:cs="Times New Roman"/>
          <w:color w:val="222222"/>
          <w:sz w:val="23"/>
          <w:szCs w:val="23"/>
          <w:lang w:eastAsia="sv-SE"/>
        </w:rPr>
      </w:pPr>
    </w:p>
    <w:p w:rsidR="00BF29E6" w:rsidRPr="00BF29E6" w:rsidRDefault="00BF29E6" w:rsidP="00BF29E6">
      <w:pPr>
        <w:rPr>
          <w:rFonts w:ascii="Times New Roman" w:eastAsia="Times New Roman" w:hAnsi="Times New Roman" w:cs="Times New Roman"/>
          <w:lang w:eastAsia="sv-SE"/>
        </w:rPr>
      </w:pPr>
    </w:p>
    <w:p w:rsidR="00BF29E6" w:rsidRDefault="00BF29E6"/>
    <w:sectPr w:rsidR="00BF29E6" w:rsidSect="009E1A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303AC"/>
    <w:multiLevelType w:val="multilevel"/>
    <w:tmpl w:val="1B5AC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E6"/>
    <w:rsid w:val="00356B10"/>
    <w:rsid w:val="003F6E88"/>
    <w:rsid w:val="005516ED"/>
    <w:rsid w:val="00633E29"/>
    <w:rsid w:val="00690E05"/>
    <w:rsid w:val="008A5015"/>
    <w:rsid w:val="009E1A19"/>
    <w:rsid w:val="00BF29E6"/>
    <w:rsid w:val="00F0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4D670"/>
  <w15:chartTrackingRefBased/>
  <w15:docId w15:val="{CB345CCE-9C8F-D548-A67D-909946F9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BF29E6"/>
  </w:style>
  <w:style w:type="paragraph" w:styleId="Normalwebb">
    <w:name w:val="Normal (Web)"/>
    <w:basedOn w:val="Normal"/>
    <w:uiPriority w:val="99"/>
    <w:semiHidden/>
    <w:unhideWhenUsed/>
    <w:rsid w:val="00BF29E6"/>
    <w:pPr>
      <w:spacing w:before="100" w:beforeAutospacing="1" w:after="100" w:afterAutospacing="1"/>
    </w:pPr>
    <w:rPr>
      <w:rFonts w:ascii="Times New Roman" w:eastAsia="Times New Roman" w:hAnsi="Times New Roman" w:cs="Times New Roman"/>
      <w:lang w:val="sv-SE" w:eastAsia="sv-SE"/>
    </w:rPr>
  </w:style>
  <w:style w:type="paragraph" w:styleId="Liststycke">
    <w:name w:val="List Paragraph"/>
    <w:basedOn w:val="Normal"/>
    <w:uiPriority w:val="34"/>
    <w:qFormat/>
    <w:rsid w:val="00690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3085">
      <w:bodyDiv w:val="1"/>
      <w:marLeft w:val="0"/>
      <w:marRight w:val="0"/>
      <w:marTop w:val="0"/>
      <w:marBottom w:val="0"/>
      <w:divBdr>
        <w:top w:val="none" w:sz="0" w:space="0" w:color="auto"/>
        <w:left w:val="none" w:sz="0" w:space="0" w:color="auto"/>
        <w:bottom w:val="none" w:sz="0" w:space="0" w:color="auto"/>
        <w:right w:val="none" w:sz="0" w:space="0" w:color="auto"/>
      </w:divBdr>
    </w:div>
    <w:div w:id="508640097">
      <w:bodyDiv w:val="1"/>
      <w:marLeft w:val="0"/>
      <w:marRight w:val="0"/>
      <w:marTop w:val="0"/>
      <w:marBottom w:val="0"/>
      <w:divBdr>
        <w:top w:val="none" w:sz="0" w:space="0" w:color="auto"/>
        <w:left w:val="none" w:sz="0" w:space="0" w:color="auto"/>
        <w:bottom w:val="none" w:sz="0" w:space="0" w:color="auto"/>
        <w:right w:val="none" w:sz="0" w:space="0" w:color="auto"/>
      </w:divBdr>
    </w:div>
    <w:div w:id="1088693666">
      <w:bodyDiv w:val="1"/>
      <w:marLeft w:val="0"/>
      <w:marRight w:val="0"/>
      <w:marTop w:val="0"/>
      <w:marBottom w:val="0"/>
      <w:divBdr>
        <w:top w:val="none" w:sz="0" w:space="0" w:color="auto"/>
        <w:left w:val="none" w:sz="0" w:space="0" w:color="auto"/>
        <w:bottom w:val="none" w:sz="0" w:space="0" w:color="auto"/>
        <w:right w:val="none" w:sz="0" w:space="0" w:color="auto"/>
      </w:divBdr>
    </w:div>
    <w:div w:id="1841042567">
      <w:bodyDiv w:val="1"/>
      <w:marLeft w:val="0"/>
      <w:marRight w:val="0"/>
      <w:marTop w:val="0"/>
      <w:marBottom w:val="0"/>
      <w:divBdr>
        <w:top w:val="none" w:sz="0" w:space="0" w:color="auto"/>
        <w:left w:val="none" w:sz="0" w:space="0" w:color="auto"/>
        <w:bottom w:val="none" w:sz="0" w:space="0" w:color="auto"/>
        <w:right w:val="none" w:sz="0" w:space="0" w:color="auto"/>
      </w:divBdr>
    </w:div>
    <w:div w:id="185233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896</Words>
  <Characters>4751</Characters>
  <Application>Microsoft Office Word</Application>
  <DocSecurity>0</DocSecurity>
  <Lines>39</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Sild Lönroth</dc:creator>
  <cp:keywords/>
  <dc:description/>
  <cp:lastModifiedBy>Carina Sild Lönroth</cp:lastModifiedBy>
  <cp:revision>2</cp:revision>
  <dcterms:created xsi:type="dcterms:W3CDTF">2020-10-30T07:45:00Z</dcterms:created>
  <dcterms:modified xsi:type="dcterms:W3CDTF">2020-10-30T07:55:00Z</dcterms:modified>
</cp:coreProperties>
</file>